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26" w:rsidRDefault="007E1326">
      <w:pPr>
        <w:pStyle w:val="Rubrik1"/>
      </w:pPr>
      <w:r>
        <w:t xml:space="preserve">Regler för tandvårdsförmån med högkostnadsskydd för </w:t>
      </w:r>
      <w:r w:rsidR="007D6027">
        <w:t xml:space="preserve">            </w:t>
      </w:r>
      <w:r>
        <w:t>Pappers avd. 96</w:t>
      </w:r>
    </w:p>
    <w:p w:rsidR="007E1326" w:rsidRDefault="007E1326"/>
    <w:p w:rsidR="005931F8" w:rsidRDefault="007E1326" w:rsidP="00B25E39">
      <w:pPr>
        <w:numPr>
          <w:ilvl w:val="0"/>
          <w:numId w:val="3"/>
        </w:numPr>
      </w:pPr>
      <w:r>
        <w:t xml:space="preserve">Ersättningen för tandvårdskostnad som överstiger 1200:-/år ersätts av Pappers avd. 96 med 35% av patientavgiften. Den del som överstiger 5000:-/år ersätts med 60%. </w:t>
      </w:r>
    </w:p>
    <w:p w:rsidR="007E1326" w:rsidRDefault="007E1326" w:rsidP="007D6027">
      <w:pPr>
        <w:ind w:leftChars="150" w:left="360"/>
      </w:pPr>
      <w:r>
        <w:t>OBS detta under förutsättning att ingen annan ersättning utgått (ex. försäkring).</w:t>
      </w:r>
      <w:r w:rsidR="005931F8">
        <w:t xml:space="preserve"> Ersättningen beräknas per kalenderår, dvs. fr.o.m. 1/</w:t>
      </w:r>
      <w:proofErr w:type="gramStart"/>
      <w:r w:rsidR="005931F8">
        <w:t>1-31</w:t>
      </w:r>
      <w:proofErr w:type="gramEnd"/>
      <w:r w:rsidR="005931F8">
        <w:t xml:space="preserve">/12. Kvitton ska vara Pappers avd. 96 tillhanda senast den 15 januari nästföljande år. </w:t>
      </w:r>
    </w:p>
    <w:p w:rsidR="007E1326" w:rsidRDefault="007E1326" w:rsidP="00B25E39"/>
    <w:p w:rsidR="00E33B40" w:rsidRDefault="00BF03EE" w:rsidP="00B25E39">
      <w:pPr>
        <w:numPr>
          <w:ilvl w:val="0"/>
          <w:numId w:val="3"/>
        </w:numPr>
      </w:pPr>
      <w:r w:rsidRPr="00E33B40">
        <w:t>Som villkor för att omfattas av högkostnadsförmånen gäller medlemskap i Papp</w:t>
      </w:r>
      <w:r w:rsidR="00E33B40">
        <w:t>ers</w:t>
      </w:r>
    </w:p>
    <w:p w:rsidR="00BF03EE" w:rsidRDefault="00BF03EE" w:rsidP="007D6027">
      <w:pPr>
        <w:ind w:leftChars="150" w:left="360"/>
      </w:pPr>
      <w:r w:rsidRPr="00E33B40">
        <w:t>avd.96</w:t>
      </w:r>
      <w:r w:rsidR="00B25E39">
        <w:t>. F</w:t>
      </w:r>
      <w:r w:rsidR="005931F8">
        <w:t xml:space="preserve">örmånen </w:t>
      </w:r>
      <w:r w:rsidR="00AA0125">
        <w:t xml:space="preserve">börjar gälla då man varit medlem i 1 år och </w:t>
      </w:r>
      <w:r w:rsidR="00B25E39">
        <w:t>slutar gälla</w:t>
      </w:r>
      <w:r w:rsidR="005931F8">
        <w:t xml:space="preserve"> då</w:t>
      </w:r>
      <w:r w:rsidR="008A2E5D">
        <w:t xml:space="preserve"> anställningen </w:t>
      </w:r>
      <w:r w:rsidR="007D6027">
        <w:t xml:space="preserve">på </w:t>
      </w:r>
      <w:proofErr w:type="spellStart"/>
      <w:r w:rsidR="007D6027">
        <w:t>Gruvöns</w:t>
      </w:r>
      <w:proofErr w:type="spellEnd"/>
      <w:r w:rsidR="007D6027">
        <w:t xml:space="preserve"> Bruk inom Pappers verksamhetsområde</w:t>
      </w:r>
      <w:r w:rsidR="008A2E5D">
        <w:t xml:space="preserve"> upphör</w:t>
      </w:r>
      <w:r w:rsidR="005931F8">
        <w:t>.</w:t>
      </w:r>
    </w:p>
    <w:p w:rsidR="007E1326" w:rsidRDefault="007E1326" w:rsidP="007D6027"/>
    <w:p w:rsidR="007E1326" w:rsidRDefault="007E1326" w:rsidP="00B25E39">
      <w:pPr>
        <w:numPr>
          <w:ilvl w:val="0"/>
          <w:numId w:val="3"/>
        </w:numPr>
      </w:pPr>
      <w:r>
        <w:t>Ansökan görs hos Pappers avd. 96 på särskild blankett. Originalkvitton skall alltid bifogas ansökan.</w:t>
      </w:r>
    </w:p>
    <w:p w:rsidR="007E1326" w:rsidRDefault="007E1326" w:rsidP="00B25E39"/>
    <w:p w:rsidR="007E1326" w:rsidRDefault="007E1326" w:rsidP="00B25E39">
      <w:pPr>
        <w:numPr>
          <w:ilvl w:val="0"/>
          <w:numId w:val="3"/>
        </w:numPr>
      </w:pPr>
      <w:r>
        <w:t xml:space="preserve">Ersättningen utbetalas endast för tandvård som omfattas och utförs av leg. </w:t>
      </w:r>
      <w:r w:rsidR="008A2E5D">
        <w:t>t</w:t>
      </w:r>
      <w:r>
        <w:t>andläkare eller profylaxpersonal anslutna till den svenska tandvårdsförsäkringen.</w:t>
      </w:r>
      <w:r w:rsidR="008A2E5D">
        <w:t xml:space="preserve"> Ersättning betalas endast ut för åtgärder, </w:t>
      </w:r>
      <w:r w:rsidR="008A2E5D" w:rsidRPr="008A2E5D">
        <w:t>undersöknin</w:t>
      </w:r>
      <w:r w:rsidR="005931F8">
        <w:t xml:space="preserve">gar och förebyggande behandling. </w:t>
      </w:r>
      <w:r w:rsidR="008A2E5D" w:rsidRPr="008A2E5D">
        <w:t>Det får inte användas vid kosmetisk behandling, som till exempel tandblekning.</w:t>
      </w:r>
    </w:p>
    <w:p w:rsidR="007E1326" w:rsidRDefault="007E1326" w:rsidP="00B25E39"/>
    <w:p w:rsidR="007E1326" w:rsidRDefault="007E1326" w:rsidP="00B25E39">
      <w:pPr>
        <w:numPr>
          <w:ilvl w:val="0"/>
          <w:numId w:val="3"/>
        </w:numPr>
      </w:pPr>
      <w:r>
        <w:t>Ersättningen utbetalas till uppgivna kvitton inom 2 månader från ansökningsdagen. Ingen kontantutbetalning kommer att ske.</w:t>
      </w:r>
      <w:r w:rsidR="005931F8">
        <w:t xml:space="preserve"> </w:t>
      </w:r>
    </w:p>
    <w:p w:rsidR="007E1326" w:rsidRDefault="007E1326" w:rsidP="00B25E39"/>
    <w:p w:rsidR="007E1326" w:rsidRDefault="007E1326" w:rsidP="00B25E39">
      <w:pPr>
        <w:numPr>
          <w:ilvl w:val="0"/>
          <w:numId w:val="3"/>
        </w:numPr>
      </w:pPr>
      <w:r>
        <w:t>Fortlöpande avrapportering skall ske till styrelsen för Pappers avd. 96 och till revisorerna.</w:t>
      </w:r>
    </w:p>
    <w:p w:rsidR="007E1326" w:rsidRDefault="007E1326" w:rsidP="00B25E39"/>
    <w:p w:rsidR="007E1326" w:rsidRDefault="007E1326" w:rsidP="00B25E39">
      <w:pPr>
        <w:numPr>
          <w:ilvl w:val="0"/>
          <w:numId w:val="3"/>
        </w:numPr>
      </w:pPr>
      <w:r>
        <w:t>Vid tvist avgör styrelsen för Pappers avd. 96.</w:t>
      </w:r>
    </w:p>
    <w:p w:rsidR="007E1326" w:rsidRDefault="007E1326" w:rsidP="00B25E39"/>
    <w:p w:rsidR="007E1326" w:rsidRDefault="007E1326" w:rsidP="00B25E39">
      <w:pPr>
        <w:numPr>
          <w:ilvl w:val="0"/>
          <w:numId w:val="3"/>
        </w:numPr>
      </w:pPr>
      <w:r>
        <w:t>Den som gör sig skyldig till medvetet oriktigt förfarande, för att kunna tillgodogöra sig ersättning riskerar sitt medlemskap i Pappers avd. 96.</w:t>
      </w:r>
    </w:p>
    <w:p w:rsidR="007E1326" w:rsidRDefault="007E1326" w:rsidP="00B25E39"/>
    <w:p w:rsidR="007E1326" w:rsidRDefault="007E1326" w:rsidP="007D6027">
      <w:pPr>
        <w:numPr>
          <w:ilvl w:val="0"/>
          <w:numId w:val="3"/>
        </w:numPr>
      </w:pPr>
      <w:r>
        <w:t xml:space="preserve">Ovanstående regelverk gäller </w:t>
      </w:r>
      <w:r w:rsidR="00E33B40">
        <w:t>fr.o.m. 20</w:t>
      </w:r>
      <w:r w:rsidR="007D6027">
        <w:t>1</w:t>
      </w:r>
      <w:r w:rsidR="00AA0125">
        <w:t>8</w:t>
      </w:r>
      <w:r w:rsidR="007D6027">
        <w:t>-0</w:t>
      </w:r>
      <w:r w:rsidR="00AA0125">
        <w:t>4</w:t>
      </w:r>
      <w:r w:rsidR="007D6027">
        <w:t>-</w:t>
      </w:r>
      <w:r w:rsidR="00AA0125">
        <w:t>01</w:t>
      </w:r>
      <w:bookmarkStart w:id="0" w:name="_GoBack"/>
      <w:bookmarkEnd w:id="0"/>
      <w:r w:rsidR="00E33B40">
        <w:t xml:space="preserve"> och </w:t>
      </w:r>
      <w:r>
        <w:t>tills vidare.</w:t>
      </w:r>
    </w:p>
    <w:p w:rsidR="007E1326" w:rsidRDefault="007E1326"/>
    <w:p w:rsidR="007E1326" w:rsidRDefault="007E1326">
      <w:pPr>
        <w:ind w:firstLine="130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Vad innebär då detta för dig som medlem? </w:t>
      </w:r>
    </w:p>
    <w:p w:rsidR="007E1326" w:rsidRDefault="007E1326">
      <w:pPr>
        <w:ind w:firstLine="130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Hur stort blir det stöd du kan få genom Pappers?</w:t>
      </w:r>
    </w:p>
    <w:p w:rsidR="007E1326" w:rsidRDefault="007E1326">
      <w:pPr>
        <w:ind w:firstLine="130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 exempel nedan:</w:t>
      </w:r>
    </w:p>
    <w:p w:rsidR="007E1326" w:rsidRDefault="007E1326">
      <w:pPr>
        <w:rPr>
          <w:rFonts w:ascii="Arial" w:hAnsi="Arial"/>
          <w:b/>
          <w:sz w:val="28"/>
        </w:rPr>
      </w:pPr>
    </w:p>
    <w:p w:rsidR="007E1326" w:rsidRDefault="007E1326">
      <w:pPr>
        <w:pStyle w:val="Brdtext"/>
        <w:ind w:left="1304" w:firstLine="1304"/>
        <w:jc w:val="both"/>
        <w:rPr>
          <w:b w:val="0"/>
          <w:sz w:val="22"/>
        </w:rPr>
      </w:pPr>
      <w:r>
        <w:rPr>
          <w:b w:val="0"/>
          <w:sz w:val="22"/>
        </w:rPr>
        <w:t>Tandläkar-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bidrag</w:t>
      </w:r>
      <w:r>
        <w:rPr>
          <w:b w:val="0"/>
          <w:sz w:val="22"/>
        </w:rPr>
        <w:tab/>
      </w:r>
    </w:p>
    <w:p w:rsidR="007E1326" w:rsidRDefault="007E1326">
      <w:pPr>
        <w:pStyle w:val="Brdtext"/>
        <w:ind w:left="1304" w:firstLine="1304"/>
        <w:jc w:val="both"/>
        <w:rPr>
          <w:b w:val="0"/>
          <w:sz w:val="22"/>
        </w:rPr>
      </w:pPr>
      <w:r>
        <w:rPr>
          <w:b w:val="0"/>
          <w:sz w:val="22"/>
        </w:rPr>
        <w:t>kostnad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35 – 60%</w:t>
      </w:r>
      <w:r>
        <w:rPr>
          <w:b w:val="0"/>
          <w:sz w:val="22"/>
        </w:rPr>
        <w:tab/>
      </w:r>
    </w:p>
    <w:p w:rsidR="007E1326" w:rsidRDefault="007E1326">
      <w:pPr>
        <w:pStyle w:val="Brdtext"/>
        <w:jc w:val="both"/>
        <w:rPr>
          <w:b w:val="0"/>
          <w:sz w:val="22"/>
        </w:rPr>
      </w:pPr>
    </w:p>
    <w:p w:rsidR="007E1326" w:rsidRDefault="007E1326">
      <w:pPr>
        <w:pStyle w:val="Brdtext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proofErr w:type="gramStart"/>
      <w:r>
        <w:rPr>
          <w:b w:val="0"/>
          <w:sz w:val="22"/>
        </w:rPr>
        <w:t>1500:-</w:t>
      </w:r>
      <w:proofErr w:type="gramEnd"/>
      <w:r>
        <w:rPr>
          <w:b w:val="0"/>
          <w:sz w:val="22"/>
        </w:rPr>
        <w:tab/>
        <w:t xml:space="preserve">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105:-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ind w:firstLine="1304"/>
        <w:jc w:val="both"/>
        <w:rPr>
          <w:b w:val="0"/>
          <w:sz w:val="22"/>
        </w:rPr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  <w:proofErr w:type="gramStart"/>
      <w:r>
        <w:rPr>
          <w:b w:val="0"/>
          <w:sz w:val="22"/>
        </w:rPr>
        <w:t>3000:-</w:t>
      </w:r>
      <w:proofErr w:type="gramEnd"/>
      <w:r>
        <w:rPr>
          <w:b w:val="0"/>
          <w:sz w:val="22"/>
        </w:rPr>
        <w:tab/>
        <w:t xml:space="preserve">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630:-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proofErr w:type="gramStart"/>
      <w:r>
        <w:rPr>
          <w:b w:val="0"/>
          <w:sz w:val="22"/>
        </w:rPr>
        <w:t>4500:-</w:t>
      </w:r>
      <w:proofErr w:type="gramEnd"/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1155:-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proofErr w:type="gramStart"/>
      <w:r>
        <w:rPr>
          <w:b w:val="0"/>
          <w:sz w:val="22"/>
        </w:rPr>
        <w:t>6000:-</w:t>
      </w:r>
      <w:proofErr w:type="gramEnd"/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1930:-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ind w:firstLine="1304"/>
        <w:jc w:val="both"/>
        <w:rPr>
          <w:b w:val="0"/>
          <w:sz w:val="22"/>
        </w:rPr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  <w:proofErr w:type="gramStart"/>
      <w:r>
        <w:rPr>
          <w:b w:val="0"/>
          <w:sz w:val="22"/>
        </w:rPr>
        <w:t>7500:-</w:t>
      </w:r>
      <w:proofErr w:type="gramEnd"/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2830:-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proofErr w:type="gramStart"/>
      <w:r>
        <w:rPr>
          <w:b w:val="0"/>
          <w:sz w:val="22"/>
        </w:rPr>
        <w:t>9000:-</w:t>
      </w:r>
      <w:proofErr w:type="gramEnd"/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3730:-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ind w:left="1304" w:firstLine="1304"/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10500:-</w:t>
      </w:r>
      <w:proofErr w:type="gramEnd"/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4630:-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ind w:left="1304" w:firstLine="1304"/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12000:-</w:t>
      </w:r>
      <w:proofErr w:type="gramEnd"/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5530:-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ind w:left="1304" w:firstLine="1304"/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13500:-</w:t>
      </w:r>
      <w:proofErr w:type="gramEnd"/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6430:-</w:t>
      </w:r>
      <w:r>
        <w:rPr>
          <w:b w:val="0"/>
          <w:sz w:val="22"/>
        </w:rPr>
        <w:tab/>
      </w:r>
    </w:p>
    <w:p w:rsidR="007E1326" w:rsidRDefault="007E1326">
      <w:pPr>
        <w:pStyle w:val="Brdtext"/>
        <w:ind w:left="1304" w:firstLine="1304"/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15000:-</w:t>
      </w:r>
      <w:proofErr w:type="gramEnd"/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7330:-</w:t>
      </w:r>
      <w:r>
        <w:rPr>
          <w:b w:val="0"/>
          <w:sz w:val="22"/>
        </w:rPr>
        <w:tab/>
      </w:r>
    </w:p>
    <w:p w:rsidR="007E1326" w:rsidRDefault="007E1326" w:rsidP="00BF03EE">
      <w:pPr>
        <w:pStyle w:val="Brdtext"/>
        <w:ind w:left="1304" w:firstLine="1304"/>
        <w:jc w:val="both"/>
      </w:pPr>
      <w:proofErr w:type="gramStart"/>
      <w:r w:rsidRPr="00BF03EE">
        <w:rPr>
          <w:b w:val="0"/>
          <w:sz w:val="22"/>
        </w:rPr>
        <w:t>20000:-</w:t>
      </w:r>
      <w:proofErr w:type="gramEnd"/>
      <w:r w:rsidRPr="00BF03EE">
        <w:rPr>
          <w:b w:val="0"/>
          <w:sz w:val="22"/>
        </w:rPr>
        <w:tab/>
      </w:r>
      <w:r w:rsidRPr="00BF03EE">
        <w:rPr>
          <w:b w:val="0"/>
          <w:sz w:val="22"/>
        </w:rPr>
        <w:tab/>
      </w:r>
      <w:r w:rsidRPr="00BF03EE">
        <w:rPr>
          <w:b w:val="0"/>
          <w:sz w:val="22"/>
        </w:rPr>
        <w:tab/>
        <w:t>10330:-</w:t>
      </w:r>
      <w:r>
        <w:tab/>
      </w:r>
    </w:p>
    <w:sectPr w:rsidR="007E1326" w:rsidSect="007D6027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C12"/>
    <w:multiLevelType w:val="hybridMultilevel"/>
    <w:tmpl w:val="E988C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F214C"/>
    <w:multiLevelType w:val="hybridMultilevel"/>
    <w:tmpl w:val="0F7678C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86F2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3EE"/>
    <w:rsid w:val="0036695B"/>
    <w:rsid w:val="005931F8"/>
    <w:rsid w:val="007D6027"/>
    <w:rsid w:val="007E1326"/>
    <w:rsid w:val="008A2E5D"/>
    <w:rsid w:val="00AA0125"/>
    <w:rsid w:val="00B25E39"/>
    <w:rsid w:val="00BF03EE"/>
    <w:rsid w:val="00E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F8F02"/>
  <w15:chartTrackingRefBased/>
  <w15:docId w15:val="{C9CC7814-6BF6-4E8B-99BE-E87C698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b/>
      <w:sz w:val="28"/>
    </w:rPr>
  </w:style>
  <w:style w:type="paragraph" w:styleId="Ballongtext">
    <w:name w:val="Balloon Text"/>
    <w:basedOn w:val="Normal"/>
    <w:semiHidden/>
    <w:rsid w:val="00BF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för tandvårdsförmån med högkostnadsskydd för Pappers avd</vt:lpstr>
    </vt:vector>
  </TitlesOfParts>
  <Company> 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tandvårdsförmån med högkostnadsskydd för Pappers avd</dc:title>
  <dc:subject/>
  <dc:creator>Pappers avd. 96</dc:creator>
  <cp:keywords/>
  <cp:lastModifiedBy>Christina Svensson</cp:lastModifiedBy>
  <cp:revision>2</cp:revision>
  <cp:lastPrinted>2014-02-27T10:55:00Z</cp:lastPrinted>
  <dcterms:created xsi:type="dcterms:W3CDTF">2018-04-16T06:57:00Z</dcterms:created>
  <dcterms:modified xsi:type="dcterms:W3CDTF">2018-04-16T06:57:00Z</dcterms:modified>
</cp:coreProperties>
</file>